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2D470">
      <w:pPr>
        <w:autoSpaceDE w:val="0"/>
        <w:autoSpaceDN w:val="0"/>
        <w:adjustRightInd w:val="0"/>
        <w:jc w:val="center"/>
        <w:rPr>
          <w:b/>
          <w:sz w:val="36"/>
          <w:szCs w:val="36"/>
        </w:rPr>
      </w:pPr>
      <w:r>
        <w:rPr>
          <w:rFonts w:hint="eastAsia"/>
          <w:b/>
          <w:sz w:val="36"/>
          <w:szCs w:val="36"/>
          <w:lang w:val="en-US" w:eastAsia="zh-CN"/>
        </w:rPr>
        <w:t>厕所改造</w:t>
      </w:r>
      <w:r>
        <w:rPr>
          <w:rFonts w:hint="eastAsia"/>
          <w:b/>
          <w:sz w:val="36"/>
          <w:szCs w:val="36"/>
        </w:rPr>
        <w:t>工程清单编制说明</w:t>
      </w:r>
    </w:p>
    <w:p w14:paraId="796CA24B">
      <w:pPr>
        <w:keepNext w:val="0"/>
        <w:keepLines w:val="0"/>
        <w:pageBreakBefore w:val="0"/>
        <w:widowControl w:val="0"/>
        <w:kinsoku/>
        <w:wordWrap/>
        <w:overflowPunct/>
        <w:topLinePunct w:val="0"/>
        <w:autoSpaceDE w:val="0"/>
        <w:autoSpaceDN w:val="0"/>
        <w:bidi w:val="0"/>
        <w:adjustRightInd w:val="0"/>
        <w:snapToGrid/>
        <w:spacing w:line="480" w:lineRule="exact"/>
        <w:ind w:firstLine="482" w:firstLineChars="200"/>
        <w:textAlignment w:val="auto"/>
        <w:rPr>
          <w:rFonts w:hint="eastAsia" w:ascii="宋体" w:hAnsi="宋体" w:cs="宋体"/>
          <w:b/>
          <w:bCs/>
          <w:kern w:val="0"/>
          <w:sz w:val="24"/>
          <w:szCs w:val="24"/>
          <w:lang w:val="zh-CN" w:eastAsia="zh-CN"/>
        </w:rPr>
      </w:pPr>
      <w:r>
        <w:rPr>
          <w:rFonts w:hint="eastAsia" w:ascii="宋体" w:hAnsi="宋体" w:cs="宋体"/>
          <w:b/>
          <w:bCs/>
          <w:kern w:val="0"/>
          <w:sz w:val="24"/>
          <w:szCs w:val="24"/>
          <w:lang w:val="en-US" w:eastAsia="zh-CN"/>
        </w:rPr>
        <w:t>一</w:t>
      </w:r>
      <w:r>
        <w:rPr>
          <w:rFonts w:hint="eastAsia" w:ascii="宋体" w:hAnsi="宋体" w:cs="宋体"/>
          <w:b/>
          <w:bCs/>
          <w:kern w:val="0"/>
          <w:sz w:val="24"/>
          <w:szCs w:val="24"/>
          <w:lang w:val="zh-CN" w:eastAsia="zh-CN"/>
        </w:rPr>
        <w:t>、编制依据：</w:t>
      </w:r>
    </w:p>
    <w:p w14:paraId="579B148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kern w:val="0"/>
          <w:sz w:val="24"/>
          <w:szCs w:val="24"/>
          <w:lang w:eastAsia="zh-CN"/>
        </w:rPr>
      </w:pPr>
      <w:bookmarkStart w:id="0" w:name="_GoBack"/>
      <w:r>
        <w:rPr>
          <w:rFonts w:hint="eastAsia" w:ascii="宋体" w:hAnsi="宋体" w:cs="宋体"/>
          <w:kern w:val="0"/>
          <w:sz w:val="24"/>
          <w:szCs w:val="24"/>
          <w:lang w:val="zh-CN"/>
        </w:rPr>
        <w:t>1、</w:t>
      </w:r>
      <w:r>
        <w:rPr>
          <w:rFonts w:hint="eastAsia" w:ascii="宋体" w:hAnsi="宋体" w:cs="宋体"/>
          <w:kern w:val="0"/>
          <w:sz w:val="24"/>
          <w:szCs w:val="24"/>
          <w:lang w:val="en-US" w:eastAsia="zh-CN"/>
        </w:rPr>
        <w:t>建湖县建筑设计院有限公司设计的</w:t>
      </w:r>
      <w:r>
        <w:rPr>
          <w:rFonts w:hint="eastAsia" w:ascii="宋体" w:hAnsi="宋体" w:cs="宋体"/>
          <w:kern w:val="0"/>
          <w:sz w:val="24"/>
          <w:szCs w:val="24"/>
        </w:rPr>
        <w:t>图纸结合施工现场实际踏勘</w:t>
      </w:r>
      <w:r>
        <w:rPr>
          <w:rFonts w:hint="eastAsia" w:ascii="宋体" w:hAnsi="宋体" w:cs="宋体"/>
          <w:kern w:val="0"/>
          <w:sz w:val="24"/>
          <w:szCs w:val="24"/>
          <w:lang w:eastAsia="zh-CN"/>
        </w:rPr>
        <w:t>；</w:t>
      </w:r>
    </w:p>
    <w:p w14:paraId="736F4D7D">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2、《建设工程工程量清单计价规范》（GB50500-2013）、《房屋建筑与装饰工程工程量计算规范》（GB50854-2013）、《通用安装工程工程量计算规范》（GB50856-2013）、《市政工程工程量计算规范》（GB50857-2013）</w:t>
      </w:r>
      <w:r>
        <w:rPr>
          <w:rFonts w:hint="eastAsia" w:ascii="宋体" w:hAnsi="宋体" w:cs="宋体"/>
          <w:kern w:val="0"/>
          <w:sz w:val="24"/>
          <w:szCs w:val="24"/>
          <w:lang w:eastAsia="zh-CN"/>
        </w:rPr>
        <w:t>；</w:t>
      </w:r>
    </w:p>
    <w:p w14:paraId="0FFCBB6F">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3、2014版《江苏省建筑与装饰工程计价定额》、2014版《江苏省安装工程计价定额》、2014版《江苏省市政工程计价定额》</w:t>
      </w:r>
      <w:r>
        <w:rPr>
          <w:rFonts w:hint="eastAsia" w:ascii="宋体" w:hAnsi="宋体" w:cs="宋体"/>
          <w:kern w:val="0"/>
          <w:sz w:val="24"/>
          <w:szCs w:val="24"/>
          <w:lang w:val="zh-CN"/>
        </w:rPr>
        <w:t>、</w:t>
      </w:r>
      <w:r>
        <w:rPr>
          <w:rFonts w:hint="eastAsia" w:ascii="宋体" w:hAnsi="宋体" w:cs="宋体"/>
          <w:kern w:val="0"/>
          <w:sz w:val="24"/>
          <w:szCs w:val="24"/>
        </w:rPr>
        <w:t>《江苏省建设工程费用定额》（2014年）、《江苏省住房和城乡建设厅关于调整建设工程计价增值税税率的通知》苏建函价【2019】178号、江苏省、盐城市以及盐城市造价管理部门发布的现行有关工程造价计价等方面的文件规定</w:t>
      </w:r>
      <w:r>
        <w:rPr>
          <w:rFonts w:hint="eastAsia" w:ascii="宋体" w:hAnsi="宋体" w:cs="宋体"/>
          <w:kern w:val="0"/>
          <w:sz w:val="24"/>
          <w:szCs w:val="24"/>
          <w:lang w:eastAsia="zh-CN"/>
        </w:rPr>
        <w:t>；</w:t>
      </w:r>
    </w:p>
    <w:p w14:paraId="6DAF511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4、人工工资按苏建函价苏建函价〔202</w:t>
      </w:r>
      <w:r>
        <w:rPr>
          <w:rFonts w:hint="eastAsia" w:ascii="宋体" w:hAnsi="宋体" w:cs="宋体"/>
          <w:kern w:val="0"/>
          <w:sz w:val="24"/>
          <w:szCs w:val="24"/>
          <w:lang w:val="en-US" w:eastAsia="zh-CN"/>
        </w:rPr>
        <w:t>5</w:t>
      </w:r>
      <w:r>
        <w:rPr>
          <w:rFonts w:hint="eastAsia" w:ascii="宋体" w:hAnsi="宋体" w:cs="宋体"/>
          <w:kern w:val="0"/>
          <w:sz w:val="24"/>
          <w:szCs w:val="24"/>
        </w:rPr>
        <w:t>〕</w:t>
      </w:r>
      <w:r>
        <w:rPr>
          <w:rFonts w:hint="eastAsia" w:ascii="宋体" w:hAnsi="宋体" w:cs="宋体"/>
          <w:kern w:val="0"/>
          <w:sz w:val="24"/>
          <w:szCs w:val="24"/>
          <w:lang w:val="en-US" w:eastAsia="zh-CN"/>
        </w:rPr>
        <w:t>27</w:t>
      </w:r>
      <w:r>
        <w:rPr>
          <w:rFonts w:hint="eastAsia" w:ascii="宋体" w:hAnsi="宋体" w:cs="宋体"/>
          <w:kern w:val="0"/>
          <w:sz w:val="24"/>
          <w:szCs w:val="24"/>
        </w:rPr>
        <w:t>3号</w:t>
      </w:r>
      <w:r>
        <w:rPr>
          <w:rFonts w:hint="eastAsia" w:ascii="宋体" w:hAnsi="宋体" w:cs="宋体"/>
          <w:kern w:val="0"/>
          <w:sz w:val="24"/>
          <w:szCs w:val="24"/>
          <w:lang w:eastAsia="zh-CN"/>
        </w:rPr>
        <w:t>，</w:t>
      </w:r>
      <w:r>
        <w:rPr>
          <w:rFonts w:hint="eastAsia" w:ascii="宋体" w:hAnsi="宋体" w:cs="宋体"/>
          <w:kern w:val="0"/>
          <w:sz w:val="24"/>
          <w:szCs w:val="24"/>
        </w:rPr>
        <w:t>材料单价执行 202</w:t>
      </w:r>
      <w:r>
        <w:rPr>
          <w:rFonts w:hint="eastAsia" w:ascii="宋体" w:hAnsi="宋体" w:cs="宋体"/>
          <w:kern w:val="0"/>
          <w:sz w:val="24"/>
          <w:szCs w:val="24"/>
          <w:lang w:val="en-US" w:eastAsia="zh-CN"/>
        </w:rPr>
        <w:t>5</w:t>
      </w:r>
      <w:r>
        <w:rPr>
          <w:rFonts w:hint="eastAsia" w:ascii="宋体" w:hAnsi="宋体" w:cs="宋体"/>
          <w:kern w:val="0"/>
          <w:sz w:val="24"/>
          <w:szCs w:val="24"/>
        </w:rPr>
        <w:t>年第</w:t>
      </w:r>
      <w:r>
        <w:rPr>
          <w:rFonts w:hint="eastAsia" w:ascii="宋体" w:hAnsi="宋体" w:cs="宋体"/>
          <w:kern w:val="0"/>
          <w:sz w:val="24"/>
          <w:szCs w:val="24"/>
          <w:lang w:val="en-US" w:eastAsia="zh-CN"/>
        </w:rPr>
        <w:t>12</w:t>
      </w:r>
      <w:r>
        <w:rPr>
          <w:rFonts w:hint="eastAsia" w:ascii="宋体" w:hAnsi="宋体" w:cs="宋体"/>
          <w:kern w:val="0"/>
          <w:sz w:val="24"/>
          <w:szCs w:val="24"/>
        </w:rPr>
        <w:t>期《盐城工程造价》材料信息价。</w:t>
      </w:r>
    </w:p>
    <w:p w14:paraId="5EA4243E">
      <w:pPr>
        <w:keepNext w:val="0"/>
        <w:keepLines w:val="0"/>
        <w:pageBreakBefore w:val="0"/>
        <w:widowControl w:val="0"/>
        <w:kinsoku/>
        <w:wordWrap/>
        <w:overflowPunct/>
        <w:topLinePunct w:val="0"/>
        <w:autoSpaceDE w:val="0"/>
        <w:autoSpaceDN w:val="0"/>
        <w:bidi w:val="0"/>
        <w:adjustRightInd w:val="0"/>
        <w:snapToGrid/>
        <w:spacing w:line="480" w:lineRule="exact"/>
        <w:ind w:firstLine="482" w:firstLineChars="200"/>
        <w:textAlignment w:val="auto"/>
        <w:rPr>
          <w:rFonts w:hint="eastAsia" w:ascii="宋体" w:hAnsi="宋体" w:cs="宋体"/>
          <w:b/>
          <w:bCs/>
          <w:kern w:val="0"/>
          <w:sz w:val="24"/>
          <w:szCs w:val="24"/>
          <w:lang w:val="zh-CN" w:eastAsia="zh-CN"/>
        </w:rPr>
      </w:pPr>
      <w:r>
        <w:rPr>
          <w:rFonts w:hint="eastAsia" w:ascii="宋体" w:hAnsi="宋体" w:cs="宋体"/>
          <w:b/>
          <w:bCs/>
          <w:kern w:val="0"/>
          <w:sz w:val="24"/>
          <w:szCs w:val="24"/>
          <w:lang w:val="en-US" w:eastAsia="zh-CN"/>
        </w:rPr>
        <w:t>二</w:t>
      </w:r>
      <w:r>
        <w:rPr>
          <w:rFonts w:hint="eastAsia" w:ascii="宋体" w:hAnsi="宋体" w:cs="宋体"/>
          <w:b/>
          <w:bCs/>
          <w:kern w:val="0"/>
          <w:sz w:val="24"/>
          <w:szCs w:val="24"/>
          <w:lang w:val="zh-CN" w:eastAsia="zh-CN"/>
        </w:rPr>
        <w:t>、报价要求：</w:t>
      </w:r>
    </w:p>
    <w:bookmarkEnd w:id="0"/>
    <w:p w14:paraId="5A0F4300">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1、工程量清单投标报价应根据招标文件的有关要求和工程量清单、施工图纸、结合施工现场实际情况、投标人自行拟定的施工方案或施工组织设计、投标人自身情况，依据企业定额和市场价格信息进行编制；</w:t>
      </w:r>
    </w:p>
    <w:p w14:paraId="168A4718">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2、工程量清单的每一项只允许有一个报价。投标人未填单价或合价的工程项目，将被视为该项费用已包括在其他价款的单价或合价内，任何与此有关的工程价款，招标人将不另行支付；</w:t>
      </w:r>
    </w:p>
    <w:p w14:paraId="217D7A3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工程量清单中已对项目的主要特征进行了描述，但不保证次要特征描述完整，若工程量清单中有未描述的次要特征，各投标人报价时应按施工图、施工验收规范、标准图集及招标文件的有关要求等全面考虑组价内容计入综合单价；</w:t>
      </w:r>
    </w:p>
    <w:p w14:paraId="65C63405">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施工过程中，做好第三方人员的安全管理以及运输车辆对道路的保洁、畅通、围护、协调并在路口做好施工安全围护、警示标志等工作，按有关部门的要求执行，施工期间应做到文明施工，费用包含在投标价中；</w:t>
      </w:r>
    </w:p>
    <w:p w14:paraId="7FC68BD0">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5</w:t>
      </w:r>
      <w:r>
        <w:rPr>
          <w:rFonts w:hint="eastAsia" w:ascii="宋体" w:hAnsi="宋体" w:cs="宋体"/>
          <w:kern w:val="0"/>
          <w:sz w:val="24"/>
          <w:szCs w:val="24"/>
        </w:rPr>
        <w:t>、所有建筑垃圾的清除外运，临时工棚、施工用水、用电等设施的拆除、必须在竣工验收后的10天内完成，费用包含在投标价中；</w:t>
      </w:r>
    </w:p>
    <w:p w14:paraId="7EEEAF42">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、施工临时用水、用电的申请及相关手续、临时用电所需要的</w:t>
      </w:r>
      <w:r>
        <w:rPr>
          <w:rFonts w:hint="eastAsia" w:ascii="宋体" w:hAnsi="宋体" w:cs="宋体"/>
          <w:kern w:val="0"/>
          <w:sz w:val="24"/>
          <w:szCs w:val="24"/>
          <w:lang w:val="en-US" w:eastAsia="zh-CN"/>
        </w:rPr>
        <w:t>配电箱</w:t>
      </w:r>
      <w:r>
        <w:rPr>
          <w:rFonts w:hint="eastAsia" w:ascii="宋体" w:hAnsi="宋体" w:cs="宋体"/>
          <w:kern w:val="0"/>
          <w:sz w:val="24"/>
          <w:szCs w:val="24"/>
        </w:rPr>
        <w:t>及电线电缆的安装铺设、临时用水管线的安装铺设等所有内容均由投标人自行解决，相关费用综合考虑后计入相应清单报价中，结算不再调整；临时用水、用电所产生的水电费用由投标人自行承担，承包人尚需考虑因工地现场停电（或无电、无水）或电力不足等因素而投入的自配设备及由此增加的相关费用；</w:t>
      </w:r>
    </w:p>
    <w:p w14:paraId="25C66B31">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7</w:t>
      </w:r>
      <w:r>
        <w:rPr>
          <w:rFonts w:hint="eastAsia" w:ascii="宋体" w:hAnsi="宋体" w:cs="宋体"/>
          <w:kern w:val="0"/>
          <w:sz w:val="24"/>
          <w:szCs w:val="24"/>
        </w:rPr>
        <w:t>、投标人应先到工地踏勘以充分了解工地位置、情况、道路、储存空间、装卸限制及任何其它足以影响承包价的情况，任何因忽视或误解工地情况而导致的索赔或工期延长申请将不获批准；</w:t>
      </w:r>
    </w:p>
    <w:p w14:paraId="480B062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8</w:t>
      </w:r>
      <w:r>
        <w:rPr>
          <w:rFonts w:hint="eastAsia" w:ascii="宋体" w:hAnsi="宋体" w:cs="宋体"/>
          <w:kern w:val="0"/>
          <w:sz w:val="24"/>
          <w:szCs w:val="24"/>
        </w:rPr>
        <w:t>、施工场地周围地下管线和邻近建筑物、构筑物、古树名木的保护要求及费用承担：在招标人提供相关资料及现场实际情况明确的前提下，投标人有义务保护，费用计入总报价中，如因投标人过错造成的损失，由投标人承担；</w:t>
      </w:r>
    </w:p>
    <w:p w14:paraId="61A7C8F2">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9</w:t>
      </w:r>
      <w:r>
        <w:rPr>
          <w:rFonts w:hint="eastAsia" w:ascii="宋体" w:hAnsi="宋体" w:cs="宋体"/>
          <w:kern w:val="0"/>
          <w:sz w:val="24"/>
          <w:szCs w:val="24"/>
        </w:rPr>
        <w:t>、土方</w:t>
      </w:r>
      <w:r>
        <w:rPr>
          <w:rFonts w:hint="eastAsia" w:ascii="宋体" w:hAnsi="宋体" w:cs="宋体"/>
          <w:kern w:val="0"/>
          <w:sz w:val="24"/>
          <w:szCs w:val="24"/>
          <w:lang w:eastAsia="zh-CN"/>
        </w:rPr>
        <w:t>、</w:t>
      </w:r>
      <w:r>
        <w:rPr>
          <w:rFonts w:hint="eastAsia" w:ascii="宋体" w:hAnsi="宋体" w:cs="宋体"/>
          <w:kern w:val="0"/>
          <w:sz w:val="24"/>
          <w:szCs w:val="24"/>
          <w:lang w:val="en-US" w:eastAsia="zh-CN"/>
        </w:rPr>
        <w:t>垃圾</w:t>
      </w:r>
      <w:r>
        <w:rPr>
          <w:rFonts w:hint="eastAsia" w:ascii="宋体" w:hAnsi="宋体" w:cs="宋体"/>
          <w:kern w:val="0"/>
          <w:sz w:val="24"/>
          <w:szCs w:val="24"/>
        </w:rPr>
        <w:t>外运运距及渣土消纳费用由投标人自行考虑计入报价；</w:t>
      </w:r>
    </w:p>
    <w:p w14:paraId="384AB282">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10</w:t>
      </w:r>
      <w:r>
        <w:rPr>
          <w:rFonts w:hint="eastAsia" w:ascii="宋体" w:hAnsi="宋体" w:cs="宋体"/>
          <w:kern w:val="0"/>
          <w:sz w:val="24"/>
          <w:szCs w:val="24"/>
        </w:rPr>
        <w:t>、以下子项不再单独列项，应综合考虑计入相应项目报价：</w:t>
      </w:r>
    </w:p>
    <w:p w14:paraId="24AEFF84">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（1）门洞的阳角水泥砂浆做暗护角；</w:t>
      </w:r>
    </w:p>
    <w:p w14:paraId="688D4012">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（2）做装饰层前的素土夯实及基层表面清理干净；</w:t>
      </w:r>
    </w:p>
    <w:p w14:paraId="0DDFD992">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（3）除已在清单(安装部分)内列出预留套管以外的预留套管、预留孔；</w:t>
      </w:r>
    </w:p>
    <w:p w14:paraId="5FAA602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（4）原装饰基层的修补，管道洞吊模封堵等；</w:t>
      </w:r>
    </w:p>
    <w:p w14:paraId="26376ECB">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（5）板底下表面清扫干净，填补基面，清除浮浆及批腻前的打磨与平整；</w:t>
      </w:r>
    </w:p>
    <w:p w14:paraId="37A2252F">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（6）预埋在混凝土或砌体中的木砖均做无污染防腐剂处理；</w:t>
      </w:r>
    </w:p>
    <w:p w14:paraId="627941D5">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（7）石膏板贴面胶带、点锈等；</w:t>
      </w:r>
    </w:p>
    <w:p w14:paraId="60DF665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（8）吊顶灯具开孔</w:t>
      </w:r>
      <w:r>
        <w:rPr>
          <w:rFonts w:hint="eastAsia" w:ascii="宋体" w:hAnsi="宋体" w:cs="宋体"/>
          <w:kern w:val="0"/>
          <w:sz w:val="24"/>
          <w:szCs w:val="24"/>
          <w:lang w:eastAsia="zh-CN"/>
        </w:rPr>
        <w:t>、</w:t>
      </w:r>
      <w:r>
        <w:rPr>
          <w:rFonts w:hint="eastAsia" w:ascii="宋体" w:hAnsi="宋体" w:cs="宋体"/>
          <w:kern w:val="0"/>
          <w:sz w:val="24"/>
          <w:szCs w:val="24"/>
          <w:lang w:val="en-US" w:eastAsia="zh-CN"/>
        </w:rPr>
        <w:t>成品检修口费用</w:t>
      </w:r>
      <w:r>
        <w:rPr>
          <w:rFonts w:hint="eastAsia" w:ascii="宋体" w:hAnsi="宋体" w:cs="宋体"/>
          <w:kern w:val="0"/>
          <w:sz w:val="24"/>
          <w:szCs w:val="24"/>
        </w:rPr>
        <w:t>；</w:t>
      </w:r>
    </w:p>
    <w:p w14:paraId="24E81C56">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w:t>
      </w:r>
      <w:r>
        <w:rPr>
          <w:rFonts w:hint="eastAsia" w:ascii="宋体" w:hAnsi="宋体" w:cs="宋体"/>
          <w:kern w:val="0"/>
          <w:sz w:val="24"/>
          <w:szCs w:val="24"/>
          <w:lang w:val="en-US" w:eastAsia="zh-CN"/>
        </w:rPr>
        <w:t>9</w:t>
      </w:r>
      <w:r>
        <w:rPr>
          <w:rFonts w:hint="eastAsia" w:ascii="宋体" w:hAnsi="宋体" w:cs="宋体"/>
          <w:kern w:val="0"/>
          <w:sz w:val="24"/>
          <w:szCs w:val="24"/>
        </w:rPr>
        <w:t>）所有的卫生洁具含所有的五金件、配件等所有配套材料报价</w:t>
      </w:r>
      <w:r>
        <w:rPr>
          <w:rFonts w:hint="eastAsia" w:ascii="宋体" w:hAnsi="宋体" w:cs="宋体"/>
          <w:kern w:val="0"/>
          <w:sz w:val="24"/>
          <w:szCs w:val="24"/>
          <w:lang w:eastAsia="zh-CN"/>
        </w:rPr>
        <w:t>。</w:t>
      </w:r>
    </w:p>
    <w:p w14:paraId="58BEAC1C">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11、主要材料推荐品牌：投标时无需明确品牌，中标后在推荐品牌中选用。</w:t>
      </w:r>
    </w:p>
    <w:tbl>
      <w:tblPr>
        <w:tblStyle w:val="5"/>
        <w:tblW w:w="91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6"/>
        <w:gridCol w:w="1606"/>
        <w:gridCol w:w="2161"/>
        <w:gridCol w:w="3328"/>
        <w:gridCol w:w="1224"/>
      </w:tblGrid>
      <w:tr w14:paraId="4133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F769">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rPr>
            </w:pPr>
            <w:r>
              <w:rPr>
                <w:rFonts w:hint="eastAsia" w:ascii="宋体" w:hAnsi="宋体" w:cs="宋体"/>
                <w:kern w:val="0"/>
                <w:sz w:val="24"/>
                <w:szCs w:val="24"/>
                <w:lang w:val="en-US" w:eastAsia="zh-CN"/>
              </w:rPr>
              <w:t>序号</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6864">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rPr>
            </w:pPr>
            <w:r>
              <w:rPr>
                <w:rFonts w:hint="eastAsia" w:ascii="宋体" w:hAnsi="宋体" w:cs="宋体"/>
                <w:kern w:val="0"/>
                <w:sz w:val="24"/>
                <w:szCs w:val="24"/>
                <w:lang w:val="en-US" w:eastAsia="zh-CN"/>
              </w:rPr>
              <w:t>主要材料名称</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D538">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rPr>
            </w:pPr>
            <w:r>
              <w:rPr>
                <w:rFonts w:hint="eastAsia" w:ascii="宋体" w:hAnsi="宋体" w:cs="宋体"/>
                <w:kern w:val="0"/>
                <w:sz w:val="24"/>
                <w:szCs w:val="24"/>
                <w:lang w:val="en-US" w:eastAsia="zh-CN"/>
              </w:rPr>
              <w:t>规格、技术要求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6230">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建议品牌</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9F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12EC9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A92C">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A8D7">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配电箱内主要电气元件</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CC4DA">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F8BE">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常熟开关、上海人民（上联）、正泰、德力西</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E8BD">
            <w:pPr>
              <w:jc w:val="center"/>
              <w:rPr>
                <w:rFonts w:hint="eastAsia" w:ascii="宋体" w:hAnsi="宋体" w:eastAsia="宋体" w:cs="宋体"/>
                <w:i w:val="0"/>
                <w:iCs w:val="0"/>
                <w:color w:val="000000"/>
                <w:sz w:val="18"/>
                <w:szCs w:val="18"/>
                <w:u w:val="none"/>
              </w:rPr>
            </w:pPr>
          </w:p>
        </w:tc>
      </w:tr>
      <w:tr w14:paraId="0C3D9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6F94">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2</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CFB32">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电线、电缆</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BBC1">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D2880">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远东、江南、上上</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5125">
            <w:pPr>
              <w:jc w:val="center"/>
              <w:rPr>
                <w:rFonts w:hint="eastAsia" w:ascii="宋体" w:hAnsi="宋体" w:eastAsia="宋体" w:cs="宋体"/>
                <w:i w:val="0"/>
                <w:iCs w:val="0"/>
                <w:color w:val="000000"/>
                <w:sz w:val="18"/>
                <w:szCs w:val="18"/>
                <w:u w:val="none"/>
              </w:rPr>
            </w:pPr>
          </w:p>
        </w:tc>
      </w:tr>
      <w:tr w14:paraId="2BAB2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A12BF">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3</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D6384">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开关、插座</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A353">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5EA5">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飞利浦、施耐德、公牛</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2A9D1">
            <w:pPr>
              <w:rPr>
                <w:rFonts w:hint="eastAsia" w:ascii="宋体" w:hAnsi="宋体" w:eastAsia="宋体" w:cs="宋体"/>
                <w:i w:val="0"/>
                <w:iCs w:val="0"/>
                <w:color w:val="000000"/>
                <w:sz w:val="18"/>
                <w:szCs w:val="18"/>
                <w:u w:val="none"/>
              </w:rPr>
            </w:pPr>
          </w:p>
        </w:tc>
      </w:tr>
      <w:tr w14:paraId="20134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4218">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4</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9BFB">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照明灯具</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F061">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9A48">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color w:val="000000"/>
                <w:kern w:val="0"/>
                <w:sz w:val="24"/>
                <w:szCs w:val="24"/>
                <w:lang w:val="en-US" w:eastAsia="zh-CN"/>
              </w:rPr>
              <w:t>雷士照明、欧普照明、佛山照明</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EBFBC">
            <w:pPr>
              <w:rPr>
                <w:rFonts w:hint="eastAsia" w:ascii="宋体" w:hAnsi="宋体" w:eastAsia="宋体" w:cs="宋体"/>
                <w:i w:val="0"/>
                <w:iCs w:val="0"/>
                <w:color w:val="000000"/>
                <w:sz w:val="18"/>
                <w:szCs w:val="18"/>
                <w:u w:val="none"/>
              </w:rPr>
            </w:pPr>
          </w:p>
        </w:tc>
      </w:tr>
      <w:tr w14:paraId="19F61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AD08">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5</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FE065">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PPR、PVC管材</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5A4E">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8153">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联塑、中财，伟星</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7C2C">
            <w:pPr>
              <w:jc w:val="center"/>
              <w:rPr>
                <w:rFonts w:hint="eastAsia" w:ascii="宋体" w:hAnsi="宋体" w:eastAsia="宋体" w:cs="宋体"/>
                <w:i w:val="0"/>
                <w:iCs w:val="0"/>
                <w:color w:val="000000"/>
                <w:sz w:val="18"/>
                <w:szCs w:val="18"/>
                <w:u w:val="none"/>
              </w:rPr>
            </w:pPr>
          </w:p>
        </w:tc>
      </w:tr>
      <w:tr w14:paraId="3D9C1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B0EE3">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6</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F6817">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卫生洁具</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4FBE">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7804">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九牧、箭牌、法恩莎</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7A425">
            <w:pPr>
              <w:jc w:val="center"/>
              <w:rPr>
                <w:rFonts w:hint="eastAsia" w:ascii="宋体" w:hAnsi="宋体" w:eastAsia="宋体" w:cs="宋体"/>
                <w:i w:val="0"/>
                <w:iCs w:val="0"/>
                <w:color w:val="000000"/>
                <w:sz w:val="18"/>
                <w:szCs w:val="18"/>
                <w:u w:val="none"/>
              </w:rPr>
            </w:pPr>
          </w:p>
        </w:tc>
      </w:tr>
      <w:tr w14:paraId="3FB07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CDB6">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7</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EF5F">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内墙、外墙涂料</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40D0">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F274">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立邦、多乐士、三棵树</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C1240">
            <w:pPr>
              <w:jc w:val="center"/>
              <w:rPr>
                <w:rFonts w:hint="eastAsia" w:ascii="宋体" w:hAnsi="宋体" w:eastAsia="宋体" w:cs="宋体"/>
                <w:i w:val="0"/>
                <w:iCs w:val="0"/>
                <w:color w:val="000000"/>
                <w:sz w:val="18"/>
                <w:szCs w:val="18"/>
                <w:u w:val="none"/>
              </w:rPr>
            </w:pPr>
          </w:p>
        </w:tc>
      </w:tr>
      <w:tr w14:paraId="7DAAB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9087">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219B">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防水卷材</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AAF49">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DEAF">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东方雨虹、北新、西卡、禹王</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03623">
            <w:pPr>
              <w:jc w:val="center"/>
              <w:rPr>
                <w:rFonts w:hint="eastAsia" w:ascii="宋体" w:hAnsi="宋体" w:eastAsia="宋体" w:cs="宋体"/>
                <w:i w:val="0"/>
                <w:iCs w:val="0"/>
                <w:color w:val="000000"/>
                <w:sz w:val="18"/>
                <w:szCs w:val="18"/>
                <w:u w:val="none"/>
              </w:rPr>
            </w:pPr>
          </w:p>
        </w:tc>
      </w:tr>
      <w:tr w14:paraId="4B977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02D0">
            <w:pPr>
              <w:keepNext w:val="0"/>
              <w:keepLines w:val="0"/>
              <w:pageBreakBefore w:val="0"/>
              <w:widowControl w:val="0"/>
              <w:kinsoku/>
              <w:wordWrap/>
              <w:overflowPunct/>
              <w:topLinePunct w:val="0"/>
              <w:autoSpaceDE w:val="0"/>
              <w:autoSpaceDN w:val="0"/>
              <w:bidi w:val="0"/>
              <w:adjustRightInd w:val="0"/>
              <w:snapToGrid/>
              <w:spacing w:line="480" w:lineRule="exact"/>
              <w:jc w:val="center"/>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9</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D75F">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地砖、墙砖</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DD71">
            <w:pPr>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符合设计、清单特征要求</w:t>
            </w:r>
          </w:p>
        </w:tc>
        <w:tc>
          <w:tcPr>
            <w:tcW w:w="3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F4FAF">
            <w:pPr>
              <w:keepNext w:val="0"/>
              <w:keepLines w:val="0"/>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金舵、东鹏、马可波罗</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4F27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kern w:val="0"/>
                <w:sz w:val="24"/>
                <w:szCs w:val="24"/>
                <w:lang w:val="en-US" w:eastAsia="zh-CN"/>
              </w:rPr>
              <w:t>广东砖</w:t>
            </w:r>
          </w:p>
        </w:tc>
      </w:tr>
    </w:tbl>
    <w:p w14:paraId="3401D63A">
      <w:pPr>
        <w:autoSpaceDE w:val="0"/>
        <w:autoSpaceDN w:val="0"/>
        <w:adjustRightInd w:val="0"/>
        <w:spacing w:line="460" w:lineRule="exact"/>
        <w:jc w:val="left"/>
        <w:rPr>
          <w:rFonts w:hint="eastAsia" w:ascii="宋体" w:hAnsi="宋体"/>
          <w:sz w:val="24"/>
          <w:szCs w:val="24"/>
          <w:lang w:val="en-US" w:eastAsia="zh-CN"/>
        </w:rPr>
      </w:pPr>
    </w:p>
    <w:p w14:paraId="7AAB604B">
      <w:pPr>
        <w:autoSpaceDE w:val="0"/>
        <w:autoSpaceDN w:val="0"/>
        <w:adjustRightInd w:val="0"/>
        <w:spacing w:line="460" w:lineRule="exact"/>
        <w:ind w:firstLine="480" w:firstLineChars="200"/>
        <w:jc w:val="left"/>
        <w:rPr>
          <w:rFonts w:hint="eastAsia" w:ascii="宋体" w:hAnsi="宋体"/>
          <w:sz w:val="24"/>
          <w:szCs w:val="24"/>
          <w:lang w:val="en-US" w:eastAsia="zh-CN"/>
        </w:rPr>
      </w:pPr>
    </w:p>
    <w:sectPr>
      <w:pgSz w:w="11906" w:h="16838"/>
      <w:pgMar w:top="1417" w:right="1417" w:bottom="1134"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lOGVkZDI1OTZmMWFjNWY0MmE5YzkwYzY0ODVmMTIifQ=="/>
  </w:docVars>
  <w:rsids>
    <w:rsidRoot w:val="00172A27"/>
    <w:rsid w:val="00012D1B"/>
    <w:rsid w:val="00053CA8"/>
    <w:rsid w:val="000851E4"/>
    <w:rsid w:val="000F1E48"/>
    <w:rsid w:val="001024DD"/>
    <w:rsid w:val="0011198F"/>
    <w:rsid w:val="00122ADF"/>
    <w:rsid w:val="00123DB0"/>
    <w:rsid w:val="00147833"/>
    <w:rsid w:val="00172387"/>
    <w:rsid w:val="00172A27"/>
    <w:rsid w:val="001E6D8D"/>
    <w:rsid w:val="002362E4"/>
    <w:rsid w:val="002879F1"/>
    <w:rsid w:val="002A2749"/>
    <w:rsid w:val="002A3A4A"/>
    <w:rsid w:val="002B3EA8"/>
    <w:rsid w:val="0033595F"/>
    <w:rsid w:val="00354FF5"/>
    <w:rsid w:val="003671CD"/>
    <w:rsid w:val="003E3756"/>
    <w:rsid w:val="004002AF"/>
    <w:rsid w:val="00451F7D"/>
    <w:rsid w:val="00455D87"/>
    <w:rsid w:val="004560FA"/>
    <w:rsid w:val="004A18EF"/>
    <w:rsid w:val="004B46DB"/>
    <w:rsid w:val="00546918"/>
    <w:rsid w:val="005538A1"/>
    <w:rsid w:val="005C11EC"/>
    <w:rsid w:val="00674C91"/>
    <w:rsid w:val="006F68F1"/>
    <w:rsid w:val="00705CF3"/>
    <w:rsid w:val="00767EAC"/>
    <w:rsid w:val="007E5F7C"/>
    <w:rsid w:val="00816215"/>
    <w:rsid w:val="008546F9"/>
    <w:rsid w:val="008B2458"/>
    <w:rsid w:val="008E7DA4"/>
    <w:rsid w:val="008F6291"/>
    <w:rsid w:val="009478A7"/>
    <w:rsid w:val="00993701"/>
    <w:rsid w:val="009C017A"/>
    <w:rsid w:val="00A3541D"/>
    <w:rsid w:val="00AA647D"/>
    <w:rsid w:val="00AF5FDE"/>
    <w:rsid w:val="00B40055"/>
    <w:rsid w:val="00B46B6A"/>
    <w:rsid w:val="00B61EBC"/>
    <w:rsid w:val="00BF5031"/>
    <w:rsid w:val="00C301B6"/>
    <w:rsid w:val="00C50357"/>
    <w:rsid w:val="00C77C1C"/>
    <w:rsid w:val="00CD75D1"/>
    <w:rsid w:val="00E44A66"/>
    <w:rsid w:val="00E50328"/>
    <w:rsid w:val="00E53129"/>
    <w:rsid w:val="00E65B31"/>
    <w:rsid w:val="00E669F5"/>
    <w:rsid w:val="00ED7427"/>
    <w:rsid w:val="00F0260D"/>
    <w:rsid w:val="00F5150A"/>
    <w:rsid w:val="00FC09AB"/>
    <w:rsid w:val="023F66B6"/>
    <w:rsid w:val="02604803"/>
    <w:rsid w:val="028D5FED"/>
    <w:rsid w:val="04E42E42"/>
    <w:rsid w:val="087B4837"/>
    <w:rsid w:val="092E1232"/>
    <w:rsid w:val="0A6767AA"/>
    <w:rsid w:val="0B1B0294"/>
    <w:rsid w:val="0D143130"/>
    <w:rsid w:val="0D7770FB"/>
    <w:rsid w:val="0E844B22"/>
    <w:rsid w:val="11C16A63"/>
    <w:rsid w:val="12612198"/>
    <w:rsid w:val="13134680"/>
    <w:rsid w:val="14B22D17"/>
    <w:rsid w:val="163A2FC4"/>
    <w:rsid w:val="16BC1C2B"/>
    <w:rsid w:val="17A374FA"/>
    <w:rsid w:val="1800006D"/>
    <w:rsid w:val="1A232F89"/>
    <w:rsid w:val="1A347747"/>
    <w:rsid w:val="1CF62C1B"/>
    <w:rsid w:val="1D1A0FD4"/>
    <w:rsid w:val="1D34536A"/>
    <w:rsid w:val="1DB00010"/>
    <w:rsid w:val="1E9532EC"/>
    <w:rsid w:val="1EE77A61"/>
    <w:rsid w:val="213845A4"/>
    <w:rsid w:val="22E11FC1"/>
    <w:rsid w:val="2377406C"/>
    <w:rsid w:val="239F6B5C"/>
    <w:rsid w:val="240B7E48"/>
    <w:rsid w:val="268A7650"/>
    <w:rsid w:val="27777271"/>
    <w:rsid w:val="2C775033"/>
    <w:rsid w:val="2E4007B7"/>
    <w:rsid w:val="2F397E65"/>
    <w:rsid w:val="2F3B7E45"/>
    <w:rsid w:val="2F6B1FE9"/>
    <w:rsid w:val="2FAD7DDA"/>
    <w:rsid w:val="311416C3"/>
    <w:rsid w:val="316A0CBF"/>
    <w:rsid w:val="323531B5"/>
    <w:rsid w:val="324F79A0"/>
    <w:rsid w:val="34433B1E"/>
    <w:rsid w:val="34DA5C46"/>
    <w:rsid w:val="35907811"/>
    <w:rsid w:val="35C70A82"/>
    <w:rsid w:val="37C23C13"/>
    <w:rsid w:val="3A206C48"/>
    <w:rsid w:val="3A3D7467"/>
    <w:rsid w:val="3AC06BA9"/>
    <w:rsid w:val="3ADE7B13"/>
    <w:rsid w:val="3BAE40E4"/>
    <w:rsid w:val="3D7B2C41"/>
    <w:rsid w:val="3DFF7B39"/>
    <w:rsid w:val="3FF64DB8"/>
    <w:rsid w:val="407D52AD"/>
    <w:rsid w:val="40DB302F"/>
    <w:rsid w:val="46405B25"/>
    <w:rsid w:val="46B424A8"/>
    <w:rsid w:val="49D87BDD"/>
    <w:rsid w:val="4A11580F"/>
    <w:rsid w:val="4B2144EB"/>
    <w:rsid w:val="4C997D3D"/>
    <w:rsid w:val="4D64659D"/>
    <w:rsid w:val="4DD0778F"/>
    <w:rsid w:val="4DF278C6"/>
    <w:rsid w:val="4E3C3DC8"/>
    <w:rsid w:val="4E656AEF"/>
    <w:rsid w:val="4F405AE9"/>
    <w:rsid w:val="507D52CA"/>
    <w:rsid w:val="5396277D"/>
    <w:rsid w:val="540E1AC5"/>
    <w:rsid w:val="551959DC"/>
    <w:rsid w:val="564B20A8"/>
    <w:rsid w:val="56653041"/>
    <w:rsid w:val="566E5D97"/>
    <w:rsid w:val="56EA48BE"/>
    <w:rsid w:val="58020E8D"/>
    <w:rsid w:val="59F51C08"/>
    <w:rsid w:val="5B4D241F"/>
    <w:rsid w:val="5BC80117"/>
    <w:rsid w:val="5F1D65AC"/>
    <w:rsid w:val="5F687360"/>
    <w:rsid w:val="639308E6"/>
    <w:rsid w:val="63DC0140"/>
    <w:rsid w:val="6AA6058D"/>
    <w:rsid w:val="6ADB4111"/>
    <w:rsid w:val="6B8C0D41"/>
    <w:rsid w:val="6CF04094"/>
    <w:rsid w:val="70FF6ADF"/>
    <w:rsid w:val="71B66B18"/>
    <w:rsid w:val="71F93698"/>
    <w:rsid w:val="74031DBD"/>
    <w:rsid w:val="746A3BEA"/>
    <w:rsid w:val="76CE3641"/>
    <w:rsid w:val="784C141F"/>
    <w:rsid w:val="78876BCC"/>
    <w:rsid w:val="79D0331A"/>
    <w:rsid w:val="7A4153ED"/>
    <w:rsid w:val="7CB457BF"/>
    <w:rsid w:val="7CBF344B"/>
    <w:rsid w:val="7E514A7E"/>
    <w:rsid w:val="7EEC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customStyle="1" w:styleId="9">
    <w:name w:val="页眉 字符"/>
    <w:basedOn w:val="7"/>
    <w:link w:val="3"/>
    <w:qFormat/>
    <w:uiPriority w:val="0"/>
    <w:rPr>
      <w:rFonts w:ascii="Calibri" w:hAnsi="Calibri"/>
      <w:kern w:val="2"/>
      <w:sz w:val="18"/>
      <w:szCs w:val="18"/>
    </w:rPr>
  </w:style>
  <w:style w:type="character" w:customStyle="1" w:styleId="10">
    <w:name w:val="页脚 字符"/>
    <w:basedOn w:val="7"/>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4712</Words>
  <Characters>5081</Characters>
  <Lines>23</Lines>
  <Paragraphs>6</Paragraphs>
  <TotalTime>1</TotalTime>
  <ScaleCrop>false</ScaleCrop>
  <LinksUpToDate>false</LinksUpToDate>
  <CharactersWithSpaces>5083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2021-04-28T03:19:00Z</dcterms:created>
  <dc:creator>Administrator</dc:creator>
  <cp:lastModifiedBy>刘巍</cp:lastModifiedBy>
  <cp:lastPrinted>2026-02-02T02:30:00Z</cp:lastPrinted>
  <dcterms:modified xsi:type="dcterms:W3CDTF">2026-02-26T10:02:38Z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63AFE6C372B84B438D962478C225316B</vt:lpwstr>
  </property>
  <property fmtid="{D5CDD505-2E9C-101B-9397-08002B2CF9AE}" pid="4" name="KSOTemplateDocerSaveRecord">
    <vt:lpwstr>eyJoZGlkIjoiNGYxMzJjNTBhMzVkNmUwMTM0MTRhZjQxMDk4MDI5NDEiLCJ1c2VySWQiOiIyMjgxMjc0MTIifQ==</vt:lpwstr>
  </property>
</Properties>
</file>